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Кемеровского муниципального округа</w:t>
      </w:r>
    </w:p>
    <w:p>
      <w:pPr>
        <w:pStyle w:val="Normal"/>
        <w:tabs>
          <w:tab w:val="clear" w:pos="708"/>
          <w:tab w:val="left" w:pos="5812" w:leader="none"/>
        </w:tabs>
        <w:spacing w:lineRule="auto" w:line="276" w:before="0" w:after="0"/>
        <w:ind w:right="-1"/>
        <w:contextualSpacing/>
        <w:jc w:val="right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от ____________________№_________</w:t>
      </w:r>
    </w:p>
    <w:p>
      <w:pPr>
        <w:pStyle w:val="Normal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социально-экономического развития Кемеровского муниципального округа на 2027 год и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2028 и 2029 годов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7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8"/>
        <w:gridCol w:w="4037"/>
        <w:gridCol w:w="1738"/>
        <w:gridCol w:w="856"/>
        <w:gridCol w:w="870"/>
        <w:gridCol w:w="900"/>
        <w:gridCol w:w="1185"/>
        <w:gridCol w:w="855"/>
        <w:gridCol w:w="1141"/>
        <w:gridCol w:w="855"/>
        <w:gridCol w:w="1185"/>
        <w:gridCol w:w="854"/>
      </w:tblGrid>
      <w:tr>
        <w:trPr>
          <w:trHeight w:val="420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отчет *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отчет *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оценка показателя</w:t>
            </w:r>
          </w:p>
        </w:tc>
        <w:tc>
          <w:tcPr>
            <w:tcW w:w="60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прогноз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Показатели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Единица измерения</w:t>
            </w:r>
          </w:p>
        </w:tc>
        <w:tc>
          <w:tcPr>
            <w:tcW w:w="8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2024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2025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2026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2027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консервативный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базовый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консервативный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базовый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консервативный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базовый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вариант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вариант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вариант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вариант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вариант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вариант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Труд и занятость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75714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85929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92873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96834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98404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98531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101317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100263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103384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119,2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113,5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108,1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104,26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105,96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101,75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102,96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101,76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102,04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Реальная заработная плата работников организаций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112,9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97,2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Уровень зарегистрированной безработицы (на конец года)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0,53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0,33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0,41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0,44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0,42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0,57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0,67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0,59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тыс. чел.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0,135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0,084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0,105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0,112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0,108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0,146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0,172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0,15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Фонд заработной платы работников организаций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15563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18085,4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19503,4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20195,73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20546,82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20407,76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21009,09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20622,04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21313,71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2.7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Темп роста фонда заработной платы работников организаций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118,5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116,21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107,84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103,55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105,35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101,05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102,25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101,05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104,45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Промышленное производство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62074,2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41676,8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37175,0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35705,2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36514,8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33688,20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35585,8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31693,7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34578,0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промышленного производства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83,3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92,9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91,1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Индексы производства по видам экономической деятельности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Добыча полезных ископаемых (раздел B)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118,1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82,8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88,5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93,8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Добыча угля (05)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118,8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82,9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Добыча сырой нефти и природного газа (06)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Добыча металлических руд (07)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3.7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Добыча прочих полезных ископаемых (08)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89,9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65,9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3.8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Предоставление услуг в области добычи полезных ископаемых (09)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3.9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Обрабатывающие производства (раздел C)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73,0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3.10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пищевых продуктов (10)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89,7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21,6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напитков (11)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117,7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117,7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117,7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117,7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табачных изделий (12)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текстильных изделий (13)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135,1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131,0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133,0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одежды (14)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57,9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кожи и изделий из кожи (15)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145,1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3.17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бумаги и бумажных изделий (17)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3.18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57,4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3.19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кокса и нефтепродуктов (19)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3.20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химических веществ и химических продуктов (20)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57,3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лекарственных средств и материалов, применяемых в медицинских целях (21)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резиновых и пластмассовых изделий (22)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прочей неметаллической минеральной продукции (23)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металлургическое (24)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готовых металлических изделий, кроме машин и оборудования (25)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66,9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компьютеров, электронных и оптических изделий (26)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3.27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электрического оборудования (27)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3.28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машин и оборудования, не включенных в другие группировки (28)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350,0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297,5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3.29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автотранспортных средств, прицепов и</w:t>
              <w:br/>
              <w:t>полуприцепов (29)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3.30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прочих транспортных средств и оборудования (30)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1000,0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мебели (31)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Производство прочих готовых изделий (32)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144,3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Ремонт и монтаж машин и оборудования (33)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96,6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450,0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Обеспечение электрической энергией, газом и паром;</w:t>
              <w:br/>
              <w:t>кондиционирование воздуха (раздел D)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88,0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52,3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16,5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Сельское хозяйство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Продукция сельского хозяйства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4984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5992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7068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7063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7402,53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7411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7766,9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7790,4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производства продукции сельского хозяйства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Продукция растениеводства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4252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5011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5248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5496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5496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5751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5752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производства продукции растениеводства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112,8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100,3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100,6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Продукция животноводства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1674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1740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1815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1915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2039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производства продукции животноводства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91,7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Строительство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Объем работ, выполненных по виду деятельности "Строительство"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 ценах соответствующих лет; млн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27522,5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20109,4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21252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22252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22752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24752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25352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25252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92,8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67,9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102,3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98,3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Индекс-дефлятор по виду деятельности "Строительство"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Ввод в действие жилых домов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тыс. кв. м общей площади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124,3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114,8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</w:t>
            </w:r>
            <w:r>
              <w:rPr>
                <w:sz w:val="13"/>
                <w:szCs w:val="13"/>
              </w:rPr>
              <w:t>90,0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94,0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Торговля и услуги населению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потребительских цен на товары и услуги, на конец года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декабрю</w:t>
              <w:br/>
              <w:t>предыдущего года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109,6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106,06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104,2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потребительских цен на товары и услуги, в среднем за год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108,9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109,4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Оборот розничной торговли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7516,8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10183,3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10878,4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11095,7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11359,5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11793,8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11896,6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12584,4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физического объема оборота розничной торговли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126,4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100,1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102,6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Индекс-дефлятор оборота розничной торговли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107,2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Объем платных услуг населению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1935,02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2226,01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2647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2657,3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2849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2871,2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3054,8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3090,6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6.7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физического объема платных услуг населению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101,6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102,8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103,4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6.8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Индекс-дефлятор объема платных услуг населению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108,3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единиц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13"/>
                <w:szCs w:val="13"/>
              </w:rPr>
              <w:t>2 333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2175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2196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2213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2225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2239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2251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тыс. чел.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13"/>
                <w:szCs w:val="13"/>
              </w:rPr>
              <w:t>1,91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5,833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5,899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5,916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5,937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5,954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5,966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5,999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Оборот малых и средних предприятий, включая микропредприятия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млрд руб.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13"/>
                <w:szCs w:val="13"/>
              </w:rPr>
              <w:t>13,15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10,18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12,4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13,7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14,8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16,7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Инвестиции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Инвестиции в основной капитал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38 155,04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27 808,6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27 000,0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27 200,0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28 000,0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27 200,0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28 000,0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27 150,0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28 000,0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 физического объема инвестиций в основной капитал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к предыдущему году</w:t>
              <w:br/>
              <w:t>в сопоставимых ценах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64,4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98,8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96,1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95,9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96,1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Индекс-дефлятор инвестиций в основной капитал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 г/г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110,11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113,10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106,5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104,10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104,10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104,10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104,10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%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Инвестиции в основной капитал по источникам</w:t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9.5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Собственные средства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10758,61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9288,00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9300,00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9000,00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9300,00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Привлеченные средства, из них: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20275,21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1964,66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1619,00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1599,00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1939,00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1592,00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1925,00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1579,00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1929,00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кредиты банков, в том числе: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5,50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11,80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9.6.1.1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кредиты иностранных банков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заемные средства других организаций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36,30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99,40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бюджетные средства, в том числе: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20225,49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1849,46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1900,00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1900,00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9.6.3.1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федеральный бюджет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3942,83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456,17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450,00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600,00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9.6.3.2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бюджеты субъектов Российской Федерации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15924,45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1089,5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1000,00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800,00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1000,00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9.6.3.3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из местных бюджетов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358,21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303,7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</w:tr>
      <w:tr>
        <w:trPr>
          <w:trHeight w:val="192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9.6.4</w:t>
            </w:r>
          </w:p>
        </w:tc>
        <w:tc>
          <w:tcPr>
            <w:tcW w:w="40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прочие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млн рублей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7,92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</w:t>
            </w:r>
          </w:p>
        </w:tc>
      </w:tr>
    </w:tbl>
    <w:p>
      <w:pPr>
        <w:sectPr>
          <w:type w:val="nextPage"/>
          <w:pgSz w:orient="landscape" w:w="16838" w:h="11906"/>
          <w:pgMar w:left="1134" w:right="851" w:gutter="0" w:header="0" w:top="820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основным показателям прогноза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2027 год и плановый период 2028 и 2029 годов по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«Кемеровский муниципальный округ»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Показатели прогноза социально-экономического развития Кемеровского муниципального округа на 2027 год и плановый период до 2029 года отражают развитие территории в условиях реализации государственной политики, направленной на стимулирование экономического роста и модернизации.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 и занятость</w:t>
      </w:r>
    </w:p>
    <w:p>
      <w:pPr>
        <w:pStyle w:val="Normal"/>
        <w:spacing w:lineRule="atLeast" w:line="0"/>
        <w:ind w:firstLine="567"/>
        <w:jc w:val="both"/>
        <w:rPr/>
      </w:pPr>
      <w:r>
        <w:rPr>
          <w:sz w:val="28"/>
          <w:szCs w:val="28"/>
        </w:rPr>
        <w:t>Среднемесячная начисленная заработная плата одного работающего в 2024 году составила 84,9 тыс. рублей, что на 14,3% выше уровня 2023 года, при этом на крупных и средних предприятиях – 89,2 тыс. рублей, на малых  предприятиях – 45,2 тыс. рублей.</w:t>
      </w:r>
    </w:p>
    <w:p>
      <w:pPr>
        <w:pStyle w:val="Normal"/>
        <w:spacing w:lineRule="atLeast" w:line="0"/>
        <w:ind w:firstLine="567"/>
        <w:jc w:val="both"/>
        <w:rPr/>
      </w:pPr>
      <w:r>
        <w:rPr>
          <w:sz w:val="28"/>
          <w:szCs w:val="28"/>
        </w:rPr>
        <w:t>По видам экономической деятельности среднемесячная заработная плата одного работника распределилась следующим образом: добыча                          угля – 108,17 тыс. рублей, добыча прочих полезных ископаемых –                 100,2 тыс. рублей, строительство – 88,5 тыс. рублей, транспортировка и хранение – 86,4 тыс. рублей, торговля оптовая и розничная – 77,02 тыс. рублей, деятельность в области культуры – 74,3 тыс. рублей, государственное управление и обеспечение военной безопасности – 68,8 тыс. рублей. Наименьший уровень заработной платы в «Деятельность гостиниц и предприятий общественного питания» – 44,3 тыс. рублей и в «Деятельность административная» – 36,2 тыс. рублей.</w:t>
      </w:r>
    </w:p>
    <w:p>
      <w:pPr>
        <w:pStyle w:val="Normal"/>
        <w:spacing w:lineRule="atLeast" w:line="0"/>
        <w:ind w:firstLine="567"/>
        <w:jc w:val="both"/>
        <w:rPr/>
      </w:pPr>
      <w:r>
        <w:rPr>
          <w:sz w:val="28"/>
          <w:szCs w:val="28"/>
        </w:rPr>
        <w:t>На протяжении всего прогнозного периода планируется рост среднемесячной начисленной заработной платы: с 92,9 тыс. рублей в 2025 году до 110,5 тыс. рублей в базовом и 109,8 тыс. рублей в консервативном варианте в 2028 году.</w:t>
      </w:r>
    </w:p>
    <w:p>
      <w:pPr>
        <w:pStyle w:val="Normal"/>
        <w:spacing w:lineRule="atLeast" w:line="0"/>
        <w:ind w:firstLine="567"/>
        <w:jc w:val="both"/>
        <w:rPr/>
      </w:pPr>
      <w:r>
        <w:rPr>
          <w:sz w:val="28"/>
          <w:szCs w:val="28"/>
        </w:rPr>
        <w:t xml:space="preserve">Численность безработных, зарегистрированных в службе занятости, на конец 2024 года, составила 84 человека, что на 51 человек меньше 2023 года. </w:t>
      </w:r>
    </w:p>
    <w:p>
      <w:pPr>
        <w:pStyle w:val="Normal"/>
        <w:spacing w:lineRule="atLeast" w:line="0"/>
        <w:ind w:firstLine="567"/>
        <w:jc w:val="both"/>
        <w:rPr/>
      </w:pPr>
      <w:r>
        <w:rPr>
          <w:sz w:val="28"/>
          <w:szCs w:val="28"/>
        </w:rPr>
        <w:t xml:space="preserve">Уровень зарегистрированной безработицы в 2024 году составил 0,33 % к трудоспособному населению, по сравнению с 2023 годом безработица снизилась на 0,2%. </w:t>
      </w:r>
    </w:p>
    <w:p>
      <w:pPr>
        <w:pStyle w:val="Normal"/>
        <w:spacing w:lineRule="atLeast" w:line="0"/>
        <w:ind w:firstLine="56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76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Промышленное производство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По итогам 2025 года индекс промышленного производства составил 83,3%. Ключевой фактор – снижение добычи угля. 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Добыча полезных ископаемых на территории округа представлена: добычей угля; добычей гранулы, крошки и порошка; добычей гальки и гравия; добычей россыпного золота.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Добычу угля в Кемеровском муниципальном округе осуществляют:                ООО СП «Барзасское товарищество», АО «Черниговец», филиал АО «Черниговец» - «Шахта «Южная», филиал АО «УК «Северный Кузбасс» – шахта «Первомайская», филиал АО «УК «Кузбассразрезуголь» – «Кедровский угольный разрез», ООО «Угольная компания Анжерская-Южная».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По итогам 2025 года добыча угля составила 12,6 млн тонн. По сравнению с 2024 годом добыча снизилась на 14,9%. По итогам 2026 года планируется добыть 14,6 млн тонн угля, что больше уровня 2025 года на 2,0 млн тонн угля. Объем добычи угля снизится в 2027 году до 14,1 млн тонн угля – по базовому варианту прогноза. Консервативный вариант предусматривает добычу на уровне 12,9 млн тонн угля.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Из общего объема добычи угля, объем коксующегося угля составил – 3,1 млн тонн, обогащенного угля – 9,5 млн тонн угля.</w:t>
      </w:r>
    </w:p>
    <w:p>
      <w:pPr>
        <w:pStyle w:val="BodyText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По итогам 2025 года объем отгруженных товаров собственного производства, выполненных работ и услуг собственными силами по видам деятельности составил 41,67 млрд. рублей, снижение относительно 2024 составило 32,9%.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 основным причинам снижения относятся введенные санкции, прекращение поставок угля в европейские страны, снижение мировых цен на уголь, увеличение затрат на логистику, проблемы с пропускной способностью железнодорожных магистралей в восточном направлении.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Предприятиями добывающие прочие полезные ископаемые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округа являются: ООО «Кемеровский каменный карьер»,                       ООО «Карьер Мозжухинский», АО «Карьер Известковый»,                                  ООО «Горнодобывающая Компания», ООО «Карьерсервис», ООО «Керамзит», ООО «Барзасский карьер», ООО «Кайгур», ООО «Кемзолото»,                             ООО «Барзасская экспедиция». 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Рост производства по обрабатывающему сектору к концу прогнозного периода составит 97,0% по консервативному варианту и 99,1% - по базовому.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Темп роста промышленного производства в целом прогнозируется на отметке 94,1% по консервативному варианту и 97,2% по базовому.</w:t>
      </w:r>
    </w:p>
    <w:p>
      <w:pPr>
        <w:pStyle w:val="Normal"/>
        <w:jc w:val="both"/>
        <w:rPr/>
      </w:pPr>
      <w:r>
        <w:rPr>
          <w:rStyle w:val="s1"/>
          <w:rFonts w:eastAsia="Adobe Kaiti Std R"/>
          <w:b/>
          <w:bCs/>
          <w:sz w:val="28"/>
          <w:szCs w:val="28"/>
          <w:shd w:fill="FFFFFF" w:val="clear"/>
        </w:rPr>
        <w:t>Обрабатывающие производства</w:t>
      </w:r>
    </w:p>
    <w:p>
      <w:pPr>
        <w:pStyle w:val="ListParagraph"/>
        <w:ind w:firstLine="567" w:left="0"/>
        <w:jc w:val="both"/>
        <w:rPr/>
      </w:pPr>
      <w:r>
        <w:rPr>
          <w:rStyle w:val="apple-converted-space"/>
          <w:rFonts w:eastAsia="Adobe Kaiti Std R"/>
          <w:bCs/>
          <w:iCs/>
          <w:color w:val="000000"/>
          <w:sz w:val="28"/>
          <w:szCs w:val="28"/>
        </w:rPr>
        <w:t>О</w:t>
      </w:r>
      <w:r>
        <w:rPr>
          <w:rFonts w:eastAsia="Adobe Kaiti Std R"/>
          <w:color w:val="000000"/>
          <w:sz w:val="28"/>
          <w:szCs w:val="28"/>
        </w:rPr>
        <w:t>бъем отгруженных товаров собственного производства, выполненных работ и услуг собственными силами по разделу «Обрабатывающие производства» в 2025 году составил 2,2 млрд.</w:t>
      </w:r>
      <w:r>
        <w:rPr>
          <w:color w:val="000000"/>
          <w:sz w:val="28"/>
          <w:szCs w:val="28"/>
        </w:rPr>
        <w:t xml:space="preserve"> рублей</w:t>
      </w:r>
      <w:r>
        <w:rPr>
          <w:rFonts w:eastAsia="Adobe Kaiti Std R"/>
          <w:color w:val="000000"/>
          <w:sz w:val="28"/>
          <w:szCs w:val="28"/>
        </w:rPr>
        <w:t xml:space="preserve">, снижение составило 438,6 млн </w:t>
      </w:r>
      <w:r>
        <w:rPr>
          <w:color w:val="000000"/>
          <w:sz w:val="28"/>
          <w:szCs w:val="28"/>
        </w:rPr>
        <w:t>рублей</w:t>
      </w:r>
      <w:r>
        <w:rPr>
          <w:rFonts w:eastAsia="Adobe Kaiti Std R"/>
          <w:color w:val="000000"/>
          <w:sz w:val="28"/>
          <w:szCs w:val="28"/>
        </w:rPr>
        <w:t xml:space="preserve"> или 16,2% к 2024 году. Индекс производства увеличился до 101,1% в 2025 году. </w:t>
      </w:r>
    </w:p>
    <w:p>
      <w:pPr>
        <w:pStyle w:val="ListParagraph"/>
        <w:ind w:firstLine="567" w:left="0"/>
        <w:jc w:val="both"/>
        <w:rPr>
          <w:color w:val="000000"/>
        </w:rPr>
      </w:pPr>
      <w:r>
        <w:rPr>
          <w:rFonts w:eastAsia="Adobe Kaiti Std R"/>
          <w:color w:val="000000"/>
          <w:sz w:val="28"/>
          <w:szCs w:val="28"/>
        </w:rPr>
        <w:t>Основной объем отгрузки – 40,9% приходится на производство химических продуктов и химических веществ, где наблюдается сокращение отгрузки на 22,9%, индекс производства увеличился на 40,3%. В прогнозном периоде ожидается постепенный рост производства.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color w:val="000000"/>
          <w:sz w:val="28"/>
          <w:szCs w:val="28"/>
        </w:rPr>
        <w:t>Объем</w:t>
      </w:r>
      <w:r>
        <w:rPr>
          <w:rStyle w:val="apple-converted-space"/>
          <w:bCs/>
          <w:iCs/>
          <w:color w:val="000000"/>
          <w:szCs w:val="28"/>
        </w:rPr>
        <w:t xml:space="preserve"> </w:t>
      </w:r>
      <w:r>
        <w:rPr>
          <w:rStyle w:val="apple-converted-space"/>
          <w:bCs/>
          <w:iCs/>
          <w:color w:val="000000"/>
          <w:sz w:val="28"/>
          <w:szCs w:val="28"/>
        </w:rPr>
        <w:t>отгруженных товаров по виду деятельности</w:t>
      </w:r>
      <w:r>
        <w:rPr>
          <w:rStyle w:val="apple-converted-space"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apple-converted-space"/>
          <w:bCs/>
          <w:iCs/>
          <w:color w:val="000000"/>
          <w:sz w:val="28"/>
          <w:szCs w:val="28"/>
        </w:rPr>
        <w:t>«</w:t>
      </w:r>
      <w:r>
        <w:rPr>
          <w:rStyle w:val="s3"/>
          <w:iCs/>
          <w:color w:val="000000"/>
          <w:sz w:val="28"/>
          <w:szCs w:val="28"/>
        </w:rPr>
        <w:t>Производство пищевых продуктов»</w:t>
      </w:r>
      <w:r>
        <w:rPr>
          <w:rStyle w:val="s3"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2025 году составил 37,4 млн рублей против 173,06 млн рублей в 2024 году,</w:t>
      </w:r>
      <w:r>
        <w:rPr>
          <w:rStyle w:val="apple-converted-space"/>
          <w:color w:val="000000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ндекс производства составил – 21,6%. Основными производителями пищевой продукции в 2025 году в округе являются                     СПК «Береговой», ООО «Розница К-1», АО «Тандер». </w:t>
      </w:r>
    </w:p>
    <w:p>
      <w:pPr>
        <w:pStyle w:val="Normal"/>
        <w:shd w:val="clear" w:color="auto" w:fill="FFFFFF"/>
        <w:ind w:firstLine="567" w:right="-30"/>
        <w:jc w:val="both"/>
        <w:rPr/>
      </w:pPr>
      <w:r>
        <w:rPr>
          <w:color w:val="000000"/>
          <w:sz w:val="28"/>
          <w:szCs w:val="28"/>
        </w:rPr>
        <w:t>В среднесрочном прогнозном периоде ежегодно планируется рост производства</w:t>
      </w:r>
      <w:r>
        <w:rPr>
          <w:rStyle w:val="apple-converted-space"/>
          <w:bCs/>
          <w:iCs/>
          <w:color w:val="000000"/>
          <w:szCs w:val="28"/>
        </w:rPr>
        <w:t xml:space="preserve"> </w:t>
      </w:r>
      <w:r>
        <w:rPr>
          <w:rStyle w:val="apple-converted-space"/>
          <w:bCs/>
          <w:iCs/>
          <w:color w:val="000000"/>
          <w:sz w:val="28"/>
          <w:szCs w:val="28"/>
        </w:rPr>
        <w:t>продукции в среднем на 102,8% в базовом варианте и на 100,8% в консервативном.</w:t>
      </w:r>
      <w:r>
        <w:rPr>
          <w:rStyle w:val="apple-converted-space"/>
          <w:bCs/>
          <w:iCs/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Рост будет обеспечен планомерным наращиванием производственной мощности функционирующими предприятиями. </w:t>
      </w:r>
    </w:p>
    <w:p>
      <w:pPr>
        <w:pStyle w:val="Normal"/>
        <w:shd w:val="clear" w:color="auto" w:fill="FFFFFF"/>
        <w:ind w:firstLine="567" w:right="-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производстве напитков в 2025 году наблюдается прирост объема отгрузки на 70,8%, который в итоге составил 25,8 млн рублей, с увеличением отгрузки с 15,1 млн рублей до 25,8 млн рублей.</w:t>
      </w:r>
    </w:p>
    <w:p>
      <w:pPr>
        <w:pStyle w:val="Normal"/>
        <w:shd w:val="clear" w:color="auto" w:fill="FFFFFF"/>
        <w:ind w:firstLine="567" w:right="-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2026 году планируется рост производства на 122,3%, далее в среднесрочном периоде производство по данному виду деятельности в консервативном варианте планируется на уровне 119,6%, в базовом прогнозируется ежегодный рост в среднем на 122,3%.</w:t>
      </w:r>
    </w:p>
    <w:p>
      <w:pPr>
        <w:pStyle w:val="Normal"/>
        <w:shd w:val="clear" w:color="auto" w:fill="FFFFFF"/>
        <w:ind w:firstLine="567" w:right="-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Планомерно увеличивается объем производства алкогольных напитков, так в 2025 году произошёл рост производства с 26,73 тыс. дкл до 30,33 тыс. дкл или на 13.47%. К концу прогнозного периода ожидается небольшое снижение производства до 22,4</w:t>
      </w:r>
      <w:r>
        <w:rPr/>
        <w:t xml:space="preserve"> </w:t>
      </w:r>
      <w:r>
        <w:rPr>
          <w:color w:val="000000"/>
          <w:sz w:val="28"/>
          <w:szCs w:val="28"/>
        </w:rPr>
        <w:t>тыс. дкл по консервативному  варианту, до 25.6 тыс. дкл по базовому варианту.</w:t>
      </w:r>
    </w:p>
    <w:p>
      <w:pPr>
        <w:pStyle w:val="Normal"/>
        <w:shd w:val="clear" w:color="auto" w:fill="FFFFFF"/>
        <w:ind w:firstLine="567" w:right="-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Производством пива в округе занимается ООО «Авторские напитки Лебедевых»,</w:t>
      </w:r>
      <w:r>
        <w:rPr/>
        <w:t xml:space="preserve"> </w:t>
      </w:r>
      <w:r>
        <w:rPr>
          <w:color w:val="000000"/>
          <w:sz w:val="28"/>
          <w:szCs w:val="28"/>
        </w:rPr>
        <w:t xml:space="preserve">ООО «Сибирь». </w:t>
      </w:r>
      <w:bookmarkStart w:id="0" w:name="_GoBack"/>
      <w:bookmarkEnd w:id="0"/>
    </w:p>
    <w:p>
      <w:pPr>
        <w:pStyle w:val="Normal"/>
        <w:shd w:val="clear" w:color="auto" w:fill="FFFFFF"/>
        <w:ind w:firstLine="567" w:right="-3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Производством текстильных изделий в округе занимаются индивидуальные предприниматели. По данному направлению в отчетном году наблюдается </w:t>
      </w:r>
      <w:r>
        <w:rPr>
          <w:color w:val="000000"/>
          <w:sz w:val="28"/>
          <w:szCs w:val="28"/>
        </w:rPr>
        <w:t>снижение</w:t>
      </w:r>
      <w:r>
        <w:rPr>
          <w:color w:val="000000"/>
          <w:sz w:val="28"/>
          <w:szCs w:val="28"/>
        </w:rPr>
        <w:t xml:space="preserve"> отгрузки и производства продукции </w:t>
      </w:r>
      <w:r>
        <w:rPr>
          <w:color w:val="000000"/>
          <w:sz w:val="28"/>
          <w:szCs w:val="28"/>
        </w:rPr>
        <w:t>на 0,1% по отношению к 2024 году</w:t>
      </w:r>
      <w:r>
        <w:rPr>
          <w:color w:val="000000"/>
          <w:sz w:val="28"/>
          <w:szCs w:val="28"/>
        </w:rPr>
        <w:t xml:space="preserve">. В среднесрочном прогнозе ожидается планомерный рост отгрузки. 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Индекс производства по виду деятельности «Обработка древесины и производство изделий из дерева» в 2025 году составил 48,4%. Данный вид деятельности в Кемеровском муниципальном округе в отчетном году представлен СПК «Береговой» и ш. Первомайской, которые занимаются производством древесины для собственных нужд, а также индивидуальными предпринимателями Мендруль И.И., Симикян А.Г. Ожидается, что в 2026 году и среднесрочном периоде с 202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по 202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годы объем производств снизится в два раза.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виду деятельности «Прочей неметаллической минеральной продукции» объем отгруженных товаров в 2025 году снизился и составил 90,0% к 2024 году или 1073,1 млн рублей, индекс производства составил 100,0%. Данный вид деятельности представлен ООО «Благоустройство», ООО «АБЗ-1»,              ООО «Технобетон», ООО «Бетон-Гарант» и индивидуальными предпринимателями. В среднесрочном периоде в базовом варианте ожидается рост</w:t>
      </w:r>
      <w:r>
        <w:rPr/>
        <w:t xml:space="preserve"> </w:t>
      </w:r>
      <w:r>
        <w:rPr>
          <w:color w:val="000000"/>
          <w:sz w:val="28"/>
          <w:szCs w:val="28"/>
        </w:rPr>
        <w:t xml:space="preserve">отгрузки в среднем на  4%, в консервативном ожидается небольшой спад, в среднем на 0,2%. 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Производство по виду деятельности «Производство готовых металлических изделий, кроме машин и оборудования» в отчетном году представлено ООО «Рубин-А», ООО «С-Тар» и индивидуальными предпринимателями, которые занимаются производством контейнеров и конструкций из металла. По итогам 2025 года объем отгрузки по данному виду деятельности снизился на 14,3 млн рублей и составил 3,6 млн рублей. В 2026 году планируется снижение производства до 19,4%, к окончанию среднесрочного прогнозного периода объем отгрузки по данному виду деятельности планируется на уровне 2 млн руб</w:t>
      </w:r>
      <w:r>
        <w:rPr>
          <w:color w:val="000000"/>
          <w:sz w:val="28"/>
          <w:szCs w:val="28"/>
        </w:rPr>
        <w:t>лей</w:t>
      </w:r>
      <w:r>
        <w:rPr>
          <w:color w:val="000000"/>
          <w:sz w:val="28"/>
          <w:szCs w:val="28"/>
        </w:rPr>
        <w:t>.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Объем отгрузки и индекс производства по виду деятельности «Производство машин и оборудования, не включенных в другие группировки» в 2025 году составил 41,9 млн рублей. Осуществляют деятельность в округе ООО «Акваформула», ООО «Вистмут» и ООО «Кузбассгормаш». В 2025 году и среднесрочном периоде предусмотрен планомерный рост производства. 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>
          <w:color w:val="000000"/>
          <w:sz w:val="28"/>
          <w:szCs w:val="28"/>
        </w:rPr>
        <w:t>Объем отгрузки по виду деятельности «Ремонт и монтаж машин и оборудования»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 w:val="28"/>
          <w:szCs w:val="28"/>
        </w:rPr>
        <w:t xml:space="preserve">в 2025 году увеличился и составил 151,8 млн рублей (2024 год – 33,2 млн рублей). Индекс производства составил – 450,0% к 2024 году. К данному виду деятельности относится сервисное обслуживание, ремонт и поставка запасных частей ООО «ЭкоНиваСибирь», а также                                ООО «Агроцентрзахарово». В 2026 году индекс производства запланирован на уровне 90%, в прогнозном периоде в консервативном варианте в среднем индекс производства составит - 92,0% , в базовом – 94,0%. </w:t>
      </w:r>
    </w:p>
    <w:p>
      <w:pPr>
        <w:pStyle w:val="BodyText3"/>
        <w:spacing w:before="0" w:after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Темп роста производства по обрабатывающему сектору к концу прогнозного периода составит 100,8% по консервативному варианту и 102,8% по базовому.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>
          <w:color w:val="000000"/>
          <w:sz w:val="28"/>
          <w:szCs w:val="28"/>
        </w:rPr>
        <w:t>Объем отгрузки пара и горячей воды в 2025 году по сравнению с 2024 годом снизился в 3,2 раза, и составил 31,3 млн.руб, в результате этого индекс производства по разделу</w:t>
      </w:r>
      <w:r>
        <w:rPr>
          <w:rStyle w:val="apple-converted-space"/>
          <w:color w:val="000000"/>
          <w:szCs w:val="28"/>
        </w:rPr>
        <w:t xml:space="preserve"> </w:t>
      </w:r>
      <w:r>
        <w:rPr>
          <w:rStyle w:val="s1"/>
          <w:bCs/>
          <w:color w:val="000000"/>
          <w:sz w:val="28"/>
          <w:szCs w:val="28"/>
        </w:rPr>
        <w:t>«Обеспечение электрической энергией, газом и паром; кондиционирование воздуха»</w:t>
      </w:r>
      <w:r>
        <w:rPr>
          <w:rStyle w:val="apple-converted-space"/>
          <w:bCs/>
          <w:iCs/>
          <w:color w:val="000000"/>
          <w:szCs w:val="28"/>
        </w:rPr>
        <w:t> </w:t>
      </w:r>
      <w:r>
        <w:rPr>
          <w:color w:val="000000"/>
          <w:sz w:val="28"/>
          <w:szCs w:val="28"/>
        </w:rPr>
        <w:t xml:space="preserve">составил 78,4%. 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Предприятия, отчитывающиеся по данному виду деятельности: </w:t>
      </w:r>
    </w:p>
    <w:p>
      <w:pPr>
        <w:pStyle w:val="Normal"/>
        <w:rPr>
          <w:bCs/>
        </w:rPr>
      </w:pPr>
      <w:r>
        <w:rPr/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ПАО «Россети Сибирь»;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ООО «КПК»;</w:t>
      </w:r>
    </w:p>
    <w:p>
      <w:pPr>
        <w:pStyle w:val="p4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ООО «Сибирская генерирующая»;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филиал АО «Кузбассразрезуголь» – «Кедровский угольный разрез»;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ООО Санаторий «Кедровый бор».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По разделу «Водоснабжение; водоотведение, организация сбора и утилизация отходов, деятельность по ликвидации загрязнений» в 2025 году объем отгруженных товаров составил 12,2 млн рублей (в 2024 году –              84,8 млн рублей). Индекс производства – 16,5% к 2024 году.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Предприятия, отчитывающиеся по данному виду деятельности: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ООО Санаторий «Кедровый бор».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ГАУ «Журавлевский дом-интернат для престарелых и инвалидов»;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ООО «</w:t>
      </w:r>
      <w:r>
        <w:rPr>
          <w:bCs/>
          <w:color w:val="000000"/>
          <w:sz w:val="28"/>
          <w:szCs w:val="28"/>
        </w:rPr>
        <w:t>Энергоресурс</w:t>
      </w:r>
      <w:r>
        <w:rPr>
          <w:bCs/>
          <w:color w:val="000000"/>
          <w:sz w:val="28"/>
          <w:szCs w:val="28"/>
        </w:rPr>
        <w:t>»;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ООО «СКЭК».</w:t>
      </w:r>
    </w:p>
    <w:p>
      <w:pPr>
        <w:pStyle w:val="BodyText3"/>
        <w:spacing w:before="0" w:after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Темп роста промышленного производства в целом прогнозируется на отметке 98,9% по консервативному варианту и 100,9% по базовому.</w:t>
      </w:r>
    </w:p>
    <w:p>
      <w:pPr>
        <w:pStyle w:val="p11"/>
        <w:shd w:val="clear" w:color="auto" w:fill="FFFFFF"/>
        <w:spacing w:beforeAutospacing="0" w:before="0" w:afterAutospacing="0" w:after="0"/>
        <w:ind w:firstLine="567"/>
        <w:jc w:val="both"/>
        <w:rPr>
          <w:bCs/>
          <w:sz w:val="28"/>
          <w:szCs w:val="28"/>
          <w:shd w:fill="FFFF00" w:val="clear"/>
        </w:rPr>
      </w:pPr>
      <w:r>
        <w:rPr>
          <w:bCs/>
          <w:sz w:val="28"/>
          <w:szCs w:val="28"/>
          <w:shd w:fill="FFFF00" w:val="clear"/>
        </w:rPr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хозяйство</w:t>
      </w:r>
    </w:p>
    <w:p>
      <w:pPr>
        <w:pStyle w:val="Normal"/>
        <w:tabs>
          <w:tab w:val="clear" w:pos="708"/>
          <w:tab w:val="left" w:pos="738" w:leader="none"/>
          <w:tab w:val="left" w:pos="788" w:leader="none"/>
        </w:tabs>
        <w:ind w:firstLine="737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Кемеровский муниципальный округ является многоотраслевым округом. На территории осуществляют производство молочной, мясной продукции (свинины, говядины, баранины, крольчатины, курицы), зерновых, овощей, картофеля, яйца, рыбы.</w:t>
      </w:r>
    </w:p>
    <w:p>
      <w:pPr>
        <w:pStyle w:val="Normal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Растениеводство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Валовый сбор зерновых культур в 2025 году – 79,2 т. тонн, в 2024 году – 73,9 т. тонн, прирост на 5,3 т. тонн (7,2 %).</w:t>
      </w:r>
    </w:p>
    <w:p>
      <w:pPr>
        <w:pStyle w:val="Normal"/>
        <w:spacing w:before="0" w:after="0"/>
        <w:ind w:firstLine="708"/>
        <w:contextualSpacing/>
        <w:jc w:val="both"/>
        <w:rPr/>
      </w:pPr>
      <w:r>
        <w:rPr>
          <w:sz w:val="28"/>
          <w:szCs w:val="28"/>
        </w:rPr>
        <w:t>Валовый сбор зерновых культур в 202</w:t>
      </w:r>
      <w:r>
        <w:rPr>
          <w:sz w:val="28"/>
          <w:szCs w:val="28"/>
        </w:rPr>
        <w:t>6 году планируется 54,0 т. тонн  (в связи с уменьшением посевной площади на 2 500 га и в связи со средней урожайностью за послед</w:t>
      </w:r>
      <w:r>
        <w:rPr>
          <w:bCs/>
          <w:sz w:val="28"/>
          <w:szCs w:val="28"/>
        </w:rPr>
        <w:t>ние 3 года).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 xml:space="preserve">Валовый сбор технических культур (рапс) в 2025 году </w:t>
      </w:r>
      <w:r>
        <w:rPr>
          <w:bCs/>
          <w:color w:val="000000"/>
          <w:sz w:val="28"/>
          <w:szCs w:val="28"/>
        </w:rPr>
        <w:t xml:space="preserve">– 11,6 </w:t>
      </w:r>
      <w:r>
        <w:rPr>
          <w:bCs/>
          <w:sz w:val="28"/>
          <w:szCs w:val="28"/>
        </w:rPr>
        <w:t xml:space="preserve">т. тонн, в 2024 году </w:t>
      </w:r>
      <w:r>
        <w:rPr>
          <w:bCs/>
          <w:color w:val="000000"/>
          <w:sz w:val="28"/>
          <w:szCs w:val="28"/>
        </w:rPr>
        <w:t>– 7,3</w:t>
      </w:r>
      <w:r>
        <w:rPr>
          <w:bCs/>
          <w:sz w:val="28"/>
          <w:szCs w:val="28"/>
        </w:rPr>
        <w:t xml:space="preserve"> т. тонн, прирост на 4,3</w:t>
      </w:r>
      <w:r>
        <w:rPr>
          <w:bCs/>
          <w:color w:val="000000"/>
          <w:sz w:val="28"/>
          <w:szCs w:val="28"/>
        </w:rPr>
        <w:t xml:space="preserve"> т. тонн (59,8 %)</w:t>
      </w:r>
      <w:r>
        <w:rPr>
          <w:bCs/>
          <w:sz w:val="28"/>
          <w:szCs w:val="28"/>
        </w:rPr>
        <w:t>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Валовый сбор технических культур (рапс) в 2026 году планируется 13,9 т. тонн (в связи с увеличением посевной площади на 1 000 га).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картофеля в 2025 году – 25,9 т. тонн, в 2024 году – 24,0 т. тонн, прирост на 1,9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т. тонн (7,9 %) по данным статистики</w:t>
      </w:r>
      <w:r>
        <w:rPr>
          <w:bCs/>
          <w:color w:val="FF0000"/>
          <w:sz w:val="28"/>
          <w:szCs w:val="28"/>
        </w:rPr>
        <w:t>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картофеля в 2026 году планируется 23,4 т. тонн. (в связи со средней урожайностью за последние 3 года).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овощей в 2025 году – 23,4 т. тонн, в 2024 году – 21,2 т. тонн, прирост на 2,2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т. тонн (10,4 %).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Производство овощей в 2026 году планируется 24,0 т. тонн (в связи со средней урожайностью за последние 3 года).</w:t>
      </w:r>
    </w:p>
    <w:p>
      <w:pPr>
        <w:pStyle w:val="Normal"/>
        <w:tabs>
          <w:tab w:val="clear" w:pos="708"/>
          <w:tab w:val="left" w:pos="335" w:leader="none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были благоприятные погодные условия, в связи с чем, </w:t>
      </w:r>
      <w:r>
        <w:rPr>
          <w:rFonts w:eastAsia="Calibri"/>
          <w:iCs/>
          <w:sz w:val="28"/>
          <w:szCs w:val="28"/>
        </w:rPr>
        <w:t xml:space="preserve">валовый сбор зерна в хозяйствах всех категорий (в первоначально-оприходованном весе) составил 79,2 т. тонн в весе после доработки, 107,29 </w:t>
      </w:r>
      <w:r>
        <w:rPr>
          <w:rFonts w:eastAsia="Calibri"/>
          <w:iCs/>
          <w:color w:val="000000"/>
          <w:sz w:val="28"/>
          <w:szCs w:val="28"/>
        </w:rPr>
        <w:t>%</w:t>
      </w:r>
      <w:r>
        <w:rPr>
          <w:rFonts w:eastAsia="Calibri"/>
          <w:iCs/>
          <w:sz w:val="28"/>
          <w:szCs w:val="28"/>
        </w:rPr>
        <w:t xml:space="preserve"> от уровня предыдущего года. </w:t>
      </w:r>
    </w:p>
    <w:p>
      <w:pPr>
        <w:pStyle w:val="Normal"/>
        <w:ind w:firstLine="567"/>
        <w:jc w:val="both"/>
        <w:rPr/>
      </w:pPr>
      <w:r>
        <w:rPr>
          <w:rFonts w:eastAsia="Calibri"/>
          <w:b/>
          <w:iCs/>
          <w:sz w:val="28"/>
          <w:szCs w:val="28"/>
        </w:rPr>
        <w:t>Животноводство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 xml:space="preserve">Производство молока в 2025 году – 14,3 т. тонн, 2024 году – 18,5 </w:t>
      </w:r>
      <w:r>
        <w:rPr>
          <w:bCs/>
          <w:color w:val="000000"/>
          <w:sz w:val="28"/>
          <w:szCs w:val="28"/>
        </w:rPr>
        <w:t>т. тонн</w:t>
      </w:r>
      <w:r>
        <w:rPr>
          <w:bCs/>
          <w:sz w:val="28"/>
          <w:szCs w:val="28"/>
        </w:rPr>
        <w:t xml:space="preserve">, снижение на 4,2 </w:t>
      </w:r>
      <w:r>
        <w:rPr>
          <w:bCs/>
          <w:color w:val="000000"/>
          <w:sz w:val="28"/>
          <w:szCs w:val="28"/>
        </w:rPr>
        <w:t xml:space="preserve">т. тонн </w:t>
      </w:r>
      <w:r>
        <w:rPr>
          <w:bCs/>
          <w:sz w:val="28"/>
          <w:szCs w:val="28"/>
        </w:rPr>
        <w:t xml:space="preserve">(22,7 %). </w:t>
      </w:r>
      <w:r>
        <w:rPr>
          <w:sz w:val="28"/>
          <w:szCs w:val="28"/>
        </w:rPr>
        <w:t>Снижение произошло за счет закрытия                 ООО «Прометей».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молока в 2026 году планируется 13,6 т. тонн (в связи со снижением поголовья коров).</w:t>
      </w:r>
    </w:p>
    <w:p>
      <w:pPr>
        <w:pStyle w:val="Normal"/>
        <w:ind w:firstLine="567"/>
        <w:jc w:val="both"/>
        <w:rPr/>
      </w:pPr>
      <w:r>
        <w:rPr>
          <w:bCs/>
          <w:sz w:val="10"/>
          <w:szCs w:val="10"/>
        </w:rPr>
        <w:t>,</w:t>
      </w:r>
      <w:r>
        <w:rPr>
          <w:bCs/>
          <w:sz w:val="28"/>
          <w:szCs w:val="28"/>
        </w:rPr>
        <w:t>Продуктивность молока в 2025 году – 7 128,0 кг., в 2024 году – 7 540,0 кг., прирост составил 15 кг.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 xml:space="preserve">Производство мяса в 2025 году – 2,1 т. тонн, в 2024 году – 2,1 </w:t>
      </w:r>
      <w:r>
        <w:rPr>
          <w:bCs/>
          <w:color w:val="000000"/>
          <w:sz w:val="28"/>
          <w:szCs w:val="28"/>
        </w:rPr>
        <w:t>т. тонн</w:t>
      </w:r>
      <w:r>
        <w:rPr>
          <w:bCs/>
          <w:sz w:val="28"/>
          <w:szCs w:val="28"/>
        </w:rPr>
        <w:t>, на производство на уровне прошлого года.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мяса в 2026 году планируется 1,4 т. тонн, (в связи со снижением поголовья коров).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яйца в 2025 году – 124,6 млн. шт. в 2024 году – 124,6 млн. шт., производство на уровне прошлого года.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Производство яйца в 2026 году планируется 124,8 млн. шт. (в связи со средней яйценоскостью за последние 3 года).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>Поголовье КРС (в том числе коровы) в 2025 году – 5 132 гол, в 2024 году – 6 001 гол, снижение на 869 гол. (14,5 %):</w:t>
      </w:r>
    </w:p>
    <w:p>
      <w:pPr>
        <w:pStyle w:val="Normal"/>
        <w:numPr>
          <w:ilvl w:val="0"/>
          <w:numId w:val="2"/>
        </w:numPr>
        <w:ind w:hanging="283" w:left="567"/>
        <w:jc w:val="both"/>
        <w:rPr/>
      </w:pPr>
      <w:r>
        <w:rPr>
          <w:bCs/>
          <w:sz w:val="28"/>
          <w:szCs w:val="28"/>
        </w:rPr>
        <w:t>снижение у сельскохозяйственных предприятий на 759 гол. (18 %). закрытие ООО «Прометей».</w:t>
      </w:r>
    </w:p>
    <w:p>
      <w:pPr>
        <w:pStyle w:val="Normal"/>
        <w:numPr>
          <w:ilvl w:val="0"/>
          <w:numId w:val="2"/>
        </w:numPr>
        <w:spacing w:before="0" w:after="0"/>
        <w:ind w:hanging="283" w:left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снижение у КФХ на 93 гол. (12,4 %). Снижение у мелких фермеров.</w:t>
      </w:r>
    </w:p>
    <w:p>
      <w:pPr>
        <w:pStyle w:val="Normal"/>
        <w:numPr>
          <w:ilvl w:val="0"/>
          <w:numId w:val="2"/>
        </w:numPr>
        <w:spacing w:before="0" w:after="0"/>
        <w:ind w:hanging="283" w:left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снижение у населения на 17 гол. (1,7 %). По данным статистики.</w:t>
      </w:r>
    </w:p>
    <w:p>
      <w:pPr>
        <w:pStyle w:val="Normal"/>
        <w:tabs>
          <w:tab w:val="clear" w:pos="708"/>
          <w:tab w:val="left" w:pos="335" w:leader="none"/>
        </w:tabs>
        <w:jc w:val="both"/>
        <w:rPr/>
      </w:pPr>
      <w:r>
        <w:rPr>
          <w:sz w:val="28"/>
          <w:szCs w:val="28"/>
        </w:rPr>
        <w:t xml:space="preserve">     </w:t>
      </w:r>
    </w:p>
    <w:p>
      <w:pPr>
        <w:pStyle w:val="ListParagraph"/>
        <w:ind w:firstLine="567"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Строительство</w:t>
      </w:r>
    </w:p>
    <w:p>
      <w:pPr>
        <w:pStyle w:val="BodyText3"/>
        <w:spacing w:before="0" w:after="0"/>
        <w:ind w:firstLine="567"/>
        <w:contextualSpacing/>
        <w:jc w:val="both"/>
        <w:rPr/>
      </w:pPr>
      <w:r>
        <w:rPr>
          <w:sz w:val="28"/>
          <w:szCs w:val="28"/>
        </w:rPr>
        <w:t xml:space="preserve">Объем строительных работ за 2025 год снизился и составил 20,1 млрд рублей, что составило 73,0% к 2024 году. Одной из причин снижения является сворачивание инвестиционных программ угледобывающих  предприятий.  </w:t>
      </w:r>
    </w:p>
    <w:p>
      <w:pPr>
        <w:pStyle w:val="BodyText3"/>
        <w:spacing w:before="0" w:after="0"/>
        <w:ind w:firstLine="567"/>
        <w:contextualSpacing/>
        <w:jc w:val="both"/>
        <w:rPr/>
      </w:pPr>
      <w:r>
        <w:rPr>
          <w:sz w:val="28"/>
          <w:szCs w:val="28"/>
        </w:rPr>
        <w:t xml:space="preserve">За 2025 год введено в эксплуатацию 944 дома общей площадью 114,8 тыс. м2, это на 7,6% меньше в сравнении с 2024 годом. </w:t>
      </w:r>
    </w:p>
    <w:p>
      <w:pPr>
        <w:pStyle w:val="BodyText3"/>
        <w:spacing w:before="0" w:after="0"/>
        <w:ind w:firstLine="567"/>
        <w:contextualSpacing/>
        <w:jc w:val="both"/>
        <w:rPr/>
      </w:pPr>
      <w:r>
        <w:rPr>
          <w:sz w:val="28"/>
          <w:szCs w:val="28"/>
        </w:rPr>
        <w:t xml:space="preserve">По итогам отчетного периода, округ занимает 2-е место по вводу жилья в области (12,5% от общего объема ввода жилья). </w:t>
      </w:r>
    </w:p>
    <w:p>
      <w:pPr>
        <w:pStyle w:val="BodyText3"/>
        <w:spacing w:before="0" w:after="0"/>
        <w:ind w:firstLine="567"/>
        <w:contextualSpacing/>
        <w:jc w:val="both"/>
        <w:rPr/>
      </w:pPr>
      <w:r>
        <w:rPr>
          <w:sz w:val="28"/>
          <w:szCs w:val="28"/>
        </w:rPr>
        <w:t>Оценка показателя на 2026 год, основывается на том, что на мировом рынке продолжается политика введения антироссийских санкций, в связи с чем усложняется логистика поставок, происходит удорожание стоимости строительных материалов, на этом фоне ожидается спад на строительство жилых домов населением.</w:t>
      </w:r>
    </w:p>
    <w:p>
      <w:pPr>
        <w:pStyle w:val="BodyText3"/>
        <w:spacing w:before="0" w:after="0"/>
        <w:ind w:firstLine="567"/>
        <w:contextualSpacing/>
        <w:jc w:val="both"/>
        <w:rPr/>
      </w:pPr>
      <w:r>
        <w:rPr>
          <w:sz w:val="28"/>
          <w:szCs w:val="28"/>
        </w:rPr>
        <w:t xml:space="preserve">Так же в связи с логистическими сложностями и антироссийскими санкциями угольная индустрия находится на грани кризиса, происходит сворачивание инвестиционных программ угледобывающими предприятиями,  </w:t>
      </w:r>
    </w:p>
    <w:p>
      <w:pPr>
        <w:pStyle w:val="BodyText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2027 году ожидается улучшение экономической ситуации в стране, отмены части санкций, в связи с чем ожидается снижение цен на строительные материалы, и логистику, и соответственно увеличение объемов строительства.</w:t>
      </w:r>
    </w:p>
    <w:p>
      <w:pPr>
        <w:pStyle w:val="BodyText2"/>
        <w:spacing w:lineRule="auto" w:line="240" w:before="0"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spacing w:lineRule="auto" w:line="240" w:before="0"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Инвестиции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округе объем инвестиций в основной капитал за 2025 год составил 27,8 млрд рублей. В сопоставимых ценах это на 27,1% меньше 2024 года. При этом крупный и средний бизнес по инвестициям просел в 2,8 раза по отношению к 2024 году.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произошло в области сельского хозяйства.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причина – существенное снижение инвестиций в области добычи полезных ископаемых  – минус 3,0 млрд. рублей (снижение до 3,7 млрд. рублей) или 55,3% по отношению к 2024 году. По малому предпринимательству наблюдается рост инвестиций в 2,2 раза по отношению к 2024 году.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6,7 млрд. рублей (24,1% от всего объема инвестиций) приходится на транспортировку и хранение, добычу полезных ископаемых (кроме добычи угля).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39,03% снизились инвестиции в сельское хозяйство: на 243,3 млн рублей – до 380,0 млн рублей.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обеспечение электрической энергией, газом и паром направлено 1380,2 млн рублей инвестиций (-278,8 млн рублей, снижение на 16,8%). В культуру и спорт направлено 8,1 млн рублей инвестиций (-312,6 млн рублей); в торговлю оптовую и розничную, а так же в ремонт автотранспортных средств и мотоциклов –  направлено 820,1 млн рублей (рост в 2,4 раза); в образование – 204,8 млн рублей (снижение в 4 раза).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2025 году инвестиции в основной капитал снизились на 27,1% в сопоставимых ценах по отношению к 2024 году.     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Инвестиционные проекты, реализуемые 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территории округа: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производственно-технологического комплекса по обработке и обзвреживанию твердых коммунальных отходов, п. Пригородный, ООО «РИИР Кемерово»;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экопромышленного парка «Пригородный», ООО «Управляющая компания «Экоимпульс»;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двух универсальных складов класса «А» продовольственных и непродовольственных товаров, ООО «Кузбасс Логистик»;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универсама «Бегемаг», п. Металлплощадка,                             ул. Набережная, поз. 1, ООО «Универсамы Бегемаг»;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застройка коттеджного поселка «Журавлевы горы»;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МКД в п. Металлплощадка;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газификация населенных пунктов Кемеровского муниципального округа.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2026 году ожидается снижение объема инвестиций крупным и средним бизнесом в связи с завершением реализации инвестиционных проектов. В 2027-2029 годах планируется планомерное увеличение инвестиций за счет предпринимательской инициативы.</w:t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Потребительский рынок</w:t>
      </w:r>
    </w:p>
    <w:p>
      <w:pPr>
        <w:pStyle w:val="BodyText"/>
        <w:spacing w:lineRule="auto" w:line="276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iCs/>
          <w:szCs w:val="28"/>
        </w:rPr>
        <w:t>Розничная торговля является одним из социально значимых видов предпринимательской деятельности в Кемеровской области. Она обеспечивает удовлетворение потребностей населения в качественных и доступных товарах, способствует развитию конкурентной среды на рынке и поддерживает местных производителей.</w:t>
      </w:r>
    </w:p>
    <w:p>
      <w:pPr>
        <w:pStyle w:val="BodyText"/>
        <w:spacing w:lineRule="auto" w:line="276"/>
        <w:jc w:val="both"/>
        <w:rPr>
          <w:rFonts w:ascii="XO Thames" w:hAnsi="XO Thames"/>
        </w:rPr>
      </w:pPr>
      <w:r>
        <w:rPr>
          <w:rFonts w:ascii="XO Thames" w:hAnsi="XO Thames"/>
          <w:szCs w:val="28"/>
        </w:rPr>
        <w:tab/>
        <w:t>Активное развитие торговой отрасли выступает важным фактором повышения благосостояния жителей региона и служит индикатором его устойчивого социально</w:t>
        <w:noBreakHyphen/>
        <w:t>экономического развития.</w:t>
      </w:r>
    </w:p>
    <w:p>
      <w:pPr>
        <w:pStyle w:val="BodyText"/>
        <w:spacing w:lineRule="auto" w:line="276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iCs/>
          <w:szCs w:val="28"/>
        </w:rPr>
        <w:t>Рост розничной торговли:</w:t>
      </w:r>
    </w:p>
    <w:p>
      <w:pPr>
        <w:pStyle w:val="BodyText"/>
        <w:tabs>
          <w:tab w:val="clear" w:pos="708"/>
          <w:tab w:val="left" w:pos="0" w:leader="none"/>
        </w:tabs>
        <w:spacing w:lineRule="auto" w:line="276"/>
        <w:ind w:left="709"/>
        <w:jc w:val="both"/>
        <w:rPr>
          <w:rFonts w:ascii="XO Thames" w:hAnsi="XO Thames"/>
        </w:rPr>
      </w:pPr>
      <w:r>
        <w:rPr>
          <w:rFonts w:ascii="XO Thames" w:hAnsi="XO Thames"/>
          <w:szCs w:val="28"/>
        </w:rPr>
        <w:t>формирует новые рабочие места;</w:t>
      </w:r>
    </w:p>
    <w:p>
      <w:pPr>
        <w:pStyle w:val="BodyText"/>
        <w:tabs>
          <w:tab w:val="clear" w:pos="708"/>
          <w:tab w:val="left" w:pos="0" w:leader="none"/>
        </w:tabs>
        <w:spacing w:lineRule="auto" w:line="276"/>
        <w:ind w:left="709"/>
        <w:jc w:val="both"/>
        <w:rPr>
          <w:rFonts w:ascii="XO Thames" w:hAnsi="XO Thames"/>
        </w:rPr>
      </w:pPr>
      <w:r>
        <w:rPr>
          <w:rFonts w:ascii="XO Thames" w:hAnsi="XO Thames"/>
          <w:szCs w:val="28"/>
        </w:rPr>
        <w:t>увеличивает налоговые поступления в бюджет;</w:t>
      </w:r>
    </w:p>
    <w:p>
      <w:pPr>
        <w:pStyle w:val="BodyText"/>
        <w:tabs>
          <w:tab w:val="clear" w:pos="708"/>
          <w:tab w:val="left" w:pos="0" w:leader="none"/>
        </w:tabs>
        <w:spacing w:lineRule="auto" w:line="276"/>
        <w:ind w:left="709"/>
        <w:jc w:val="both"/>
        <w:rPr>
          <w:rFonts w:ascii="XO Thames" w:hAnsi="XO Thames"/>
        </w:rPr>
      </w:pPr>
      <w:r>
        <w:rPr>
          <w:rFonts w:ascii="XO Thames" w:hAnsi="XO Thames"/>
          <w:szCs w:val="28"/>
        </w:rPr>
        <w:t>обеспечивает доступность товаров;</w:t>
      </w:r>
    </w:p>
    <w:p>
      <w:pPr>
        <w:pStyle w:val="BodyText"/>
        <w:tabs>
          <w:tab w:val="clear" w:pos="708"/>
          <w:tab w:val="left" w:pos="0" w:leader="none"/>
        </w:tabs>
        <w:spacing w:lineRule="auto" w:line="276"/>
        <w:ind w:left="709"/>
        <w:jc w:val="both"/>
        <w:rPr>
          <w:rFonts w:ascii="XO Thames" w:hAnsi="XO Thames"/>
        </w:rPr>
      </w:pPr>
      <w:r>
        <w:rPr>
          <w:rFonts w:ascii="XO Thames" w:hAnsi="XO Thames"/>
          <w:szCs w:val="28"/>
        </w:rPr>
        <w:t>укрепляет связи между местными производителями и потребителями.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ascii="XO Thames" w:hAnsi="XO Thames"/>
          <w:sz w:val="28"/>
          <w:szCs w:val="28"/>
        </w:rPr>
        <w:t>В 2025 году общий объем розничного това</w:t>
      </w:r>
      <w:r>
        <w:rPr>
          <w:sz w:val="28"/>
          <w:szCs w:val="28"/>
        </w:rPr>
        <w:t>рооборота Кемеровского муниципального округа вырос до 10183,3 млн. рублей, что в процентном соотношении к 2024 г. составило 126,4%. Рост произошел за счет  повышения уровня цен на все группы товаров.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  <w:szCs w:val="28"/>
        </w:rPr>
        <w:t>Розничный товарооборот обеспечивается индивидуальными предпринимателями, продовольственными супермаркетами                                        и сельскохозяйственными производителями.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  <w:szCs w:val="28"/>
        </w:rPr>
        <w:t xml:space="preserve">Наблюдается положительная динамика показателя объема платных услуг населению, рост которого в 2025 году по сравнению с 2024 годом составил   290,99 млн. руб. (на 15%). Организации, предоставляющие платные услуги населению, функционируют в полном объеме — это позволило сформировать благоприятный прогноз на 2026 год. 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  <w:szCs w:val="28"/>
        </w:rPr>
        <w:t xml:space="preserve">Количество субъектов малого и среднего предпринимательства, включая микропредприятия в 2026 году прогнозируется в 2139 ед., что на 1,8% больше чем в 2025 году. </w:t>
      </w:r>
    </w:p>
    <w:p>
      <w:pPr>
        <w:pStyle w:val="Normal"/>
        <w:spacing w:lineRule="auto" w:line="276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Неизменно наиболее популярными видами деятельности являются оптовая и розничная торговля, транспортировка и хранение, строительство, деятельность по операциям с недвижим имуществом.</w:t>
      </w:r>
    </w:p>
    <w:p>
      <w:pPr>
        <w:pStyle w:val="Normal"/>
        <w:spacing w:lineRule="auto" w:line="276"/>
        <w:ind w:firstLine="708"/>
        <w:jc w:val="both"/>
        <w:rPr>
          <w:iCs/>
          <w:sz w:val="28"/>
          <w:szCs w:val="28"/>
        </w:rPr>
      </w:pPr>
      <w:r>
        <w:rPr>
          <w:b/>
          <w:sz w:val="28"/>
          <w:szCs w:val="28"/>
          <w:shd w:fill="FFFF00" w:val="clear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gutter="0" w:header="0" w:top="82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655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82154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4568ba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4568b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 w:customStyle="1">
    <w:name w:val="Название Знак"/>
    <w:basedOn w:val="DefaultParagraphFont"/>
    <w:qFormat/>
    <w:rsid w:val="00316550"/>
    <w:rPr>
      <w:rFonts w:ascii="Arial" w:hAnsi="Arial" w:eastAsia="Times New Roman" w:cs="Times New Roman"/>
      <w:b/>
      <w:sz w:val="32"/>
      <w:szCs w:val="20"/>
      <w:lang w:eastAsia="ru-RU"/>
    </w:rPr>
  </w:style>
  <w:style w:type="character" w:styleId="Style13" w:customStyle="1">
    <w:name w:val="Основной текст Знак"/>
    <w:basedOn w:val="DefaultParagraphFont"/>
    <w:qFormat/>
    <w:rsid w:val="003165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22" w:customStyle="1">
    <w:name w:val="Font Style22"/>
    <w:basedOn w:val="DefaultParagraphFont"/>
    <w:uiPriority w:val="99"/>
    <w:qFormat/>
    <w:rsid w:val="002851f2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c6f2e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6c6f2e"/>
    <w:rPr/>
  </w:style>
  <w:style w:type="character" w:styleId="FollowedHyperlink">
    <w:name w:val="FollowedHyperlink"/>
    <w:basedOn w:val="DefaultParagraphFont"/>
    <w:uiPriority w:val="99"/>
    <w:semiHidden/>
    <w:unhideWhenUsed/>
    <w:rsid w:val="0001418b"/>
    <w:rPr>
      <w:color w:themeColor="followedHyperlink" w:val="800080"/>
      <w:u w:val="single"/>
    </w:rPr>
  </w:style>
  <w:style w:type="character" w:styleId="1" w:customStyle="1">
    <w:name w:val="Заголовок 1 Знак"/>
    <w:basedOn w:val="DefaultParagraphFont"/>
    <w:qFormat/>
    <w:rsid w:val="0082154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71d0"/>
    <w:rPr>
      <w:rFonts w:ascii="Tahoma" w:hAnsi="Tahoma" w:eastAsia="Times New Roman" w:cs="Tahoma"/>
      <w:sz w:val="16"/>
      <w:szCs w:val="16"/>
      <w:lang w:eastAsia="ru-RU"/>
    </w:rPr>
  </w:style>
  <w:style w:type="character" w:styleId="s1" w:customStyle="1">
    <w:name w:val="s1"/>
    <w:basedOn w:val="DefaultParagraphFont"/>
    <w:qFormat/>
    <w:rsid w:val="008e09f9"/>
    <w:rPr/>
  </w:style>
  <w:style w:type="character" w:styleId="s3" w:customStyle="1">
    <w:name w:val="s3"/>
    <w:basedOn w:val="DefaultParagraphFont"/>
    <w:qFormat/>
    <w:rsid w:val="008e09f9"/>
    <w:rPr/>
  </w:style>
  <w:style w:type="character" w:styleId="s10" w:customStyle="1">
    <w:name w:val="s10"/>
    <w:basedOn w:val="DefaultParagraphFont"/>
    <w:qFormat/>
    <w:rsid w:val="008e09f9"/>
    <w:rPr/>
  </w:style>
  <w:style w:type="character" w:styleId="21" w:customStyle="1">
    <w:name w:val="Основной текст 2 Знак"/>
    <w:basedOn w:val="DefaultParagraphFont"/>
    <w:link w:val="BodyText2"/>
    <w:qFormat/>
    <w:rsid w:val="008e09f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sid w:val="008e09f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e09f9"/>
    <w:rPr>
      <w:rFonts w:ascii="Calibri" w:hAnsi="Calibri" w:eastAsia="Calibri" w:cs="Times New Roman"/>
    </w:rPr>
  </w:style>
  <w:style w:type="character" w:styleId="Emphasis">
    <w:name w:val="Emphasis"/>
    <w:qFormat/>
    <w:rsid w:val="008e09f9"/>
    <w:rPr>
      <w:i/>
      <w:iCs/>
    </w:rPr>
  </w:style>
  <w:style w:type="character" w:styleId="organictitlecontentspan" w:customStyle="1">
    <w:name w:val="organictitlecontentspan"/>
    <w:basedOn w:val="DefaultParagraphFont"/>
    <w:qFormat/>
    <w:rsid w:val="008e09f9"/>
    <w:rPr/>
  </w:style>
  <w:style w:type="character" w:styleId="WW8Num9z0" w:customStyle="1">
    <w:name w:val="WW8Num9z0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3"/>
    <w:rsid w:val="00316550"/>
    <w:pPr>
      <w:spacing w:lineRule="auto" w:line="360"/>
    </w:pPr>
    <w:rPr>
      <w:sz w:val="28"/>
      <w:szCs w:val="20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12"/>
    <w:qFormat/>
    <w:rsid w:val="00316550"/>
    <w:pPr>
      <w:spacing w:lineRule="auto" w:line="360" w:before="120" w:after="0"/>
      <w:ind w:right="4670"/>
      <w:jc w:val="center"/>
    </w:pPr>
    <w:rPr>
      <w:rFonts w:ascii="Arial" w:hAnsi="Arial"/>
      <w:b/>
      <w:sz w:val="32"/>
      <w:szCs w:val="20"/>
    </w:rPr>
  </w:style>
  <w:style w:type="paragraph" w:styleId="ConsPlusNormal" w:customStyle="1">
    <w:name w:val="ConsPlusNormal"/>
    <w:qFormat/>
    <w:rsid w:val="00316550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c5c67"/>
    <w:pPr>
      <w:spacing w:before="0" w:after="0"/>
      <w:ind w:left="720"/>
      <w:contextualSpacing/>
    </w:pPr>
    <w:rPr/>
  </w:style>
  <w:style w:type="paragraph" w:styleId="ConsPlusJurTerm" w:customStyle="1">
    <w:name w:val="ConsPlusJurTerm"/>
    <w:qFormat/>
    <w:rsid w:val="002a6534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Style131" w:customStyle="1">
    <w:name w:val="Style13"/>
    <w:basedOn w:val="Normal"/>
    <w:uiPriority w:val="99"/>
    <w:qFormat/>
    <w:rsid w:val="002851f2"/>
    <w:pPr>
      <w:widowControl w:val="false"/>
      <w:spacing w:lineRule="exact" w:line="266"/>
    </w:pPr>
    <w:rPr>
      <w:rFonts w:ascii="Arial" w:hAnsi="Arial"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71d0"/>
    <w:pPr/>
    <w:rPr>
      <w:rFonts w:ascii="Tahoma" w:hAnsi="Tahoma" w:cs="Tahoma"/>
      <w:sz w:val="16"/>
      <w:szCs w:val="16"/>
    </w:rPr>
  </w:style>
  <w:style w:type="paragraph" w:styleId="xl67" w:customStyle="1">
    <w:name w:val="xl67"/>
    <w:basedOn w:val="Normal"/>
    <w:qFormat/>
    <w:rsid w:val="00037495"/>
    <w:pPr>
      <w:spacing w:beforeAutospacing="1" w:afterAutospacing="1"/>
    </w:pPr>
    <w:rPr>
      <w:sz w:val="14"/>
      <w:szCs w:val="14"/>
    </w:rPr>
  </w:style>
  <w:style w:type="paragraph" w:styleId="xl68" w:customStyle="1">
    <w:name w:val="xl68"/>
    <w:basedOn w:val="Normal"/>
    <w:qFormat/>
    <w:rsid w:val="000374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69" w:customStyle="1">
    <w:name w:val="xl69"/>
    <w:basedOn w:val="Normal"/>
    <w:qFormat/>
    <w:rsid w:val="000374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70" w:customStyle="1">
    <w:name w:val="xl70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71" w:customStyle="1">
    <w:name w:val="xl71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72" w:customStyle="1">
    <w:name w:val="xl72"/>
    <w:basedOn w:val="Normal"/>
    <w:qFormat/>
    <w:rsid w:val="0003749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73" w:customStyle="1">
    <w:name w:val="xl73"/>
    <w:basedOn w:val="Normal"/>
    <w:qFormat/>
    <w:rsid w:val="000374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74" w:customStyle="1">
    <w:name w:val="xl74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3"/>
      <w:szCs w:val="13"/>
    </w:rPr>
  </w:style>
  <w:style w:type="paragraph" w:styleId="xl75" w:customStyle="1">
    <w:name w:val="xl75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3"/>
      <w:szCs w:val="13"/>
    </w:rPr>
  </w:style>
  <w:style w:type="paragraph" w:styleId="xl76" w:customStyle="1">
    <w:name w:val="xl76"/>
    <w:basedOn w:val="Normal"/>
    <w:qFormat/>
    <w:rsid w:val="00037495"/>
    <w:pPr>
      <w:spacing w:beforeAutospacing="1" w:afterAutospacing="1"/>
    </w:pPr>
    <w:rPr>
      <w:sz w:val="13"/>
      <w:szCs w:val="13"/>
    </w:rPr>
  </w:style>
  <w:style w:type="paragraph" w:styleId="xl77" w:customStyle="1">
    <w:name w:val="xl77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i/>
      <w:iCs/>
      <w:sz w:val="13"/>
      <w:szCs w:val="13"/>
    </w:rPr>
  </w:style>
  <w:style w:type="paragraph" w:styleId="xl78" w:customStyle="1">
    <w:name w:val="xl78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i/>
      <w:iCs/>
      <w:sz w:val="13"/>
      <w:szCs w:val="13"/>
    </w:rPr>
  </w:style>
  <w:style w:type="paragraph" w:styleId="xl79" w:customStyle="1">
    <w:name w:val="xl79"/>
    <w:basedOn w:val="Normal"/>
    <w:qFormat/>
    <w:rsid w:val="00037495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Autospacing="1" w:afterAutospacing="1"/>
      <w:ind w:firstLine="100"/>
      <w:textAlignment w:val="center"/>
    </w:pPr>
    <w:rPr>
      <w:sz w:val="13"/>
      <w:szCs w:val="13"/>
    </w:rPr>
  </w:style>
  <w:style w:type="paragraph" w:styleId="xl80" w:customStyle="1">
    <w:name w:val="xl80"/>
    <w:basedOn w:val="Normal"/>
    <w:qFormat/>
    <w:rsid w:val="00037495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Autospacing="1" w:afterAutospacing="1"/>
      <w:ind w:firstLine="200"/>
      <w:textAlignment w:val="center"/>
    </w:pPr>
    <w:rPr>
      <w:sz w:val="13"/>
      <w:szCs w:val="13"/>
    </w:rPr>
  </w:style>
  <w:style w:type="paragraph" w:styleId="xl81" w:customStyle="1">
    <w:name w:val="xl81"/>
    <w:basedOn w:val="Normal"/>
    <w:qFormat/>
    <w:rsid w:val="00037495"/>
    <w:pPr>
      <w:pBdr>
        <w:top w:val="single" w:sz="4" w:space="0" w:color="000000"/>
        <w:left w:val="single" w:sz="4" w:space="9" w:color="000000"/>
        <w:right w:val="single" w:sz="4" w:space="0" w:color="000000"/>
      </w:pBdr>
      <w:spacing w:beforeAutospacing="1" w:afterAutospacing="1"/>
      <w:ind w:firstLine="100"/>
      <w:textAlignment w:val="center"/>
    </w:pPr>
    <w:rPr>
      <w:sz w:val="13"/>
      <w:szCs w:val="13"/>
    </w:rPr>
  </w:style>
  <w:style w:type="paragraph" w:styleId="xl82" w:customStyle="1">
    <w:name w:val="xl82"/>
    <w:basedOn w:val="Normal"/>
    <w:qFormat/>
    <w:rsid w:val="00037495"/>
    <w:pPr>
      <w:spacing w:beforeAutospacing="1" w:afterAutospacing="1"/>
    </w:pPr>
    <w:rPr/>
  </w:style>
  <w:style w:type="paragraph" w:styleId="xl83" w:customStyle="1">
    <w:name w:val="xl83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84" w:customStyle="1">
    <w:name w:val="xl84"/>
    <w:basedOn w:val="Normal"/>
    <w:qFormat/>
    <w:rsid w:val="000374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85" w:customStyle="1">
    <w:name w:val="xl85"/>
    <w:basedOn w:val="Normal"/>
    <w:qFormat/>
    <w:rsid w:val="0003749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86" w:customStyle="1">
    <w:name w:val="xl86"/>
    <w:basedOn w:val="Normal"/>
    <w:qFormat/>
    <w:rsid w:val="000374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87" w:customStyle="1">
    <w:name w:val="xl87"/>
    <w:basedOn w:val="Normal"/>
    <w:qFormat/>
    <w:rsid w:val="00037495"/>
    <w:pPr>
      <w:spacing w:beforeAutospacing="1" w:afterAutospacing="1"/>
      <w:jc w:val="center"/>
      <w:textAlignment w:val="center"/>
    </w:pPr>
    <w:rPr/>
  </w:style>
  <w:style w:type="paragraph" w:styleId="xl88" w:customStyle="1">
    <w:name w:val="xl88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89" w:customStyle="1">
    <w:name w:val="xl89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textAlignment w:val="center"/>
    </w:pPr>
    <w:rPr>
      <w:b/>
      <w:bCs/>
      <w:sz w:val="13"/>
      <w:szCs w:val="13"/>
    </w:rPr>
  </w:style>
  <w:style w:type="paragraph" w:styleId="xl90" w:customStyle="1">
    <w:name w:val="xl90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1" w:customStyle="1">
    <w:name w:val="xl91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2" w:customStyle="1">
    <w:name w:val="xl92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textAlignment w:val="center"/>
    </w:pPr>
    <w:rPr>
      <w:b/>
      <w:bCs/>
      <w:sz w:val="13"/>
      <w:szCs w:val="13"/>
    </w:rPr>
  </w:style>
  <w:style w:type="paragraph" w:styleId="xl93" w:customStyle="1">
    <w:name w:val="xl93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4" w:customStyle="1">
    <w:name w:val="xl94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5" w:customStyle="1">
    <w:name w:val="xl95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6" w:customStyle="1">
    <w:name w:val="xl96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7" w:customStyle="1">
    <w:name w:val="xl97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8" w:customStyle="1">
    <w:name w:val="xl98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99" w:customStyle="1">
    <w:name w:val="xl99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0" w:customStyle="1">
    <w:name w:val="xl100"/>
    <w:basedOn w:val="Normal"/>
    <w:qFormat/>
    <w:rsid w:val="000374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1" w:customStyle="1">
    <w:name w:val="xl101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2" w:customStyle="1">
    <w:name w:val="xl102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3" w:customStyle="1">
    <w:name w:val="xl103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3"/>
      <w:szCs w:val="13"/>
    </w:rPr>
  </w:style>
  <w:style w:type="paragraph" w:styleId="xl104" w:customStyle="1">
    <w:name w:val="xl104"/>
    <w:basedOn w:val="Normal"/>
    <w:qFormat/>
    <w:rsid w:val="00037495"/>
    <w:pPr>
      <w:shd w:val="clear" w:color="000000" w:fill="FFFFFF"/>
      <w:spacing w:beforeAutospacing="1" w:afterAutospacing="1"/>
    </w:pPr>
    <w:rPr>
      <w:sz w:val="14"/>
      <w:szCs w:val="14"/>
    </w:rPr>
  </w:style>
  <w:style w:type="paragraph" w:styleId="xl105" w:customStyle="1">
    <w:name w:val="xl105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6" w:customStyle="1">
    <w:name w:val="xl106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7" w:customStyle="1">
    <w:name w:val="xl107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8" w:customStyle="1">
    <w:name w:val="xl108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09" w:customStyle="1">
    <w:name w:val="xl109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10" w:customStyle="1">
    <w:name w:val="xl110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11" w:customStyle="1">
    <w:name w:val="xl111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12" w:customStyle="1">
    <w:name w:val="xl112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13" w:customStyle="1">
    <w:name w:val="xl113"/>
    <w:basedOn w:val="Normal"/>
    <w:qFormat/>
    <w:rsid w:val="000374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xl114" w:customStyle="1">
    <w:name w:val="xl114"/>
    <w:basedOn w:val="Normal"/>
    <w:qFormat/>
    <w:rsid w:val="0003749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15" w:customStyle="1">
    <w:name w:val="xl115"/>
    <w:basedOn w:val="Normal"/>
    <w:qFormat/>
    <w:rsid w:val="000374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p4" w:customStyle="1">
    <w:name w:val="p4"/>
    <w:basedOn w:val="Normal"/>
    <w:qFormat/>
    <w:rsid w:val="008e09f9"/>
    <w:pPr>
      <w:spacing w:beforeAutospacing="1" w:afterAutospacing="1"/>
    </w:pPr>
    <w:rPr/>
  </w:style>
  <w:style w:type="paragraph" w:styleId="p2" w:customStyle="1">
    <w:name w:val="p2"/>
    <w:basedOn w:val="Normal"/>
    <w:qFormat/>
    <w:rsid w:val="008e09f9"/>
    <w:pPr>
      <w:spacing w:beforeAutospacing="1" w:afterAutospacing="1"/>
    </w:pPr>
    <w:rPr/>
  </w:style>
  <w:style w:type="paragraph" w:styleId="p11" w:customStyle="1">
    <w:name w:val="p11"/>
    <w:basedOn w:val="Normal"/>
    <w:qFormat/>
    <w:rsid w:val="008e09f9"/>
    <w:pPr>
      <w:spacing w:beforeAutospacing="1" w:afterAutospacing="1"/>
    </w:pPr>
    <w:rPr/>
  </w:style>
  <w:style w:type="paragraph" w:styleId="BodyText2">
    <w:name w:val="Body Text 2"/>
    <w:basedOn w:val="Normal"/>
    <w:link w:val="21"/>
    <w:qFormat/>
    <w:rsid w:val="008e09f9"/>
    <w:pPr>
      <w:spacing w:lineRule="auto" w:line="480" w:before="0" w:after="120"/>
    </w:pPr>
    <w:rPr/>
  </w:style>
  <w:style w:type="paragraph" w:styleId="p6" w:customStyle="1">
    <w:name w:val="p6"/>
    <w:basedOn w:val="Normal"/>
    <w:qFormat/>
    <w:rsid w:val="008e09f9"/>
    <w:pPr>
      <w:spacing w:beforeAutospacing="1" w:afterAutospacing="1"/>
    </w:pPr>
    <w:rPr/>
  </w:style>
  <w:style w:type="paragraph" w:styleId="BodyText3">
    <w:name w:val="Body Text 3"/>
    <w:basedOn w:val="Normal"/>
    <w:link w:val="3"/>
    <w:qFormat/>
    <w:rsid w:val="008e09f9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8e09f9"/>
    <w:pPr/>
    <w:rPr/>
  </w:style>
  <w:style w:type="paragraph" w:styleId="n-title" w:customStyle="1">
    <w:name w:val="n-title"/>
    <w:basedOn w:val="Normal"/>
    <w:qFormat/>
    <w:rsid w:val="008e09f9"/>
    <w:pPr>
      <w:spacing w:beforeAutospacing="1" w:afterAutospacing="1"/>
    </w:pPr>
    <w:rPr/>
  </w:style>
  <w:style w:type="paragraph" w:styleId="12" w:customStyle="1">
    <w:name w:val="Без интервала1"/>
    <w:qFormat/>
    <w:rsid w:val="008e09f9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2" w:customStyle="1">
    <w:name w:val="Без интервала2"/>
    <w:qFormat/>
    <w:rsid w:val="008e09f9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Nonformat" w:customStyle="1">
    <w:name w:val="ConsNonformat"/>
    <w:uiPriority w:val="99"/>
    <w:qFormat/>
    <w:rsid w:val="008e09f9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Style15"/>
    <w:uiPriority w:val="99"/>
    <w:unhideWhenUsed/>
    <w:rsid w:val="008e09f9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formattext" w:customStyle="1">
    <w:name w:val="formattext"/>
    <w:basedOn w:val="Normal"/>
    <w:qFormat/>
    <w:rsid w:val="008e09f9"/>
    <w:pPr>
      <w:spacing w:beforeAutospacing="1" w:afterAutospacing="1"/>
    </w:pPr>
    <w:rPr/>
  </w:style>
  <w:style w:type="paragraph" w:styleId="Default" w:customStyle="1">
    <w:name w:val="Default"/>
    <w:qFormat/>
    <w:rsid w:val="008e09f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xl65" w:customStyle="1">
    <w:name w:val="xl65"/>
    <w:basedOn w:val="Normal"/>
    <w:qFormat/>
    <w:rsid w:val="00fa33ca"/>
    <w:pPr>
      <w:spacing w:beforeAutospacing="1" w:afterAutospacing="1"/>
    </w:pPr>
    <w:rPr>
      <w:sz w:val="14"/>
      <w:szCs w:val="14"/>
    </w:rPr>
  </w:style>
  <w:style w:type="paragraph" w:styleId="xl66" w:customStyle="1">
    <w:name w:val="xl66"/>
    <w:basedOn w:val="Normal"/>
    <w:qFormat/>
    <w:rsid w:val="00fa33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3"/>
      <w:szCs w:val="13"/>
    </w:rPr>
  </w:style>
  <w:style w:type="paragraph" w:styleId="Style71" w:customStyle="1">
    <w:name w:val="Style7"/>
    <w:basedOn w:val="Normal"/>
    <w:qFormat/>
    <w:rsid w:val="00fa33ca"/>
    <w:pPr>
      <w:widowControl w:val="false"/>
      <w:spacing w:lineRule="exact" w:line="371"/>
      <w:ind w:firstLine="703"/>
      <w:jc w:val="both"/>
    </w:pPr>
    <w:rPr>
      <w:rFonts w:ascii="Calibri" w:hAnsi="Calibri" w:cs="Calibri"/>
      <w:lang w:eastAsia="zh-CN"/>
    </w:rPr>
  </w:style>
  <w:style w:type="numbering" w:styleId="Style18" w:customStyle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01418b"/>
  </w:style>
  <w:style w:type="numbering" w:styleId="WW8Num9" w:customStyle="1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1154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59"/>
    <w:rsid w:val="000141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AA6C-8839-4D19-BE1D-7506DF00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Application>LibreOffice/25.2.3.2$Linux_X86_64 LibreOffice_project/520$Build-2</Application>
  <AppVersion>15.0000</AppVersion>
  <Pages>10</Pages>
  <Words>4118</Words>
  <Characters>24442</Characters>
  <CharactersWithSpaces>27964</CharactersWithSpaces>
  <Paragraphs>1049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2020-03-19T04:21:00Z</dcterms:created>
  <dc:creator>Наталья Незнамова</dc:creator>
  <dc:description/>
  <dc:language>ru-RU</dc:language>
  <cp:lastModifiedBy/>
  <cp:lastPrinted>2025-07-22T15:23:00Z</cp:lastPrinted>
  <dcterms:modified xsi:type="dcterms:W3CDTF">2026-07-14T10:16:02Z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